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2"/>
        <w:jc w:val="both"/>
        <w:rPr>
          <w:b/>
        </w:rPr>
      </w:pPr>
      <w:r>
        <w:rPr>
          <w:b/>
        </w:rPr>
        <w:t xml:space="preserve">ИСХ.№</w:t>
      </w:r>
      <w:r>
        <w:rPr>
          <w:b/>
          <w:u w:val="single"/>
        </w:rPr>
        <w:t xml:space="preserve"> 21/03 </w:t>
      </w:r>
      <w:r>
        <w:rPr>
          <w:b/>
        </w:rPr>
        <w:t xml:space="preserve">от «21» марта </w:t>
      </w:r>
      <w:r>
        <w:rPr>
          <w:b/>
          <w:u w:val="single"/>
        </w:rPr>
        <w:t xml:space="preserve"> 2024</w:t>
      </w:r>
      <w:r>
        <w:rPr>
          <w:b/>
        </w:rPr>
        <w:t xml:space="preserve"> г.                              Куда: </w:t>
      </w:r>
      <w:r>
        <w:rPr>
          <w:b/>
        </w:rPr>
        <w:t xml:space="preserve">ПАО «Лукойл»</w:t>
      </w:r>
      <w:r>
        <w:rPr>
          <w:b/>
        </w:rPr>
      </w:r>
    </w:p>
    <w:p>
      <w:pPr>
        <w:pStyle w:val="932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Кому:</w:t>
      </w:r>
      <w:r>
        <w:rPr>
          <w:b/>
        </w:rPr>
        <w:t xml:space="preserve"> По требованию</w:t>
      </w:r>
      <w:r>
        <w:rPr>
          <w:b/>
        </w:rPr>
      </w:r>
    </w:p>
    <w:p>
      <w:pPr>
        <w:jc w:val="both"/>
        <w:rPr>
          <w:b/>
          <w:bCs/>
        </w:rPr>
      </w:pPr>
      <w:r>
        <w:rPr>
          <w:b/>
        </w:rPr>
      </w:r>
      <w:r>
        <w:rPr>
          <w:b/>
        </w:rPr>
      </w:r>
    </w:p>
    <w:p>
      <w:pPr>
        <w:pStyle w:val="932"/>
        <w:jc w:val="both"/>
        <w:rPr>
          <w:b/>
          <w:bCs/>
        </w:rPr>
      </w:pPr>
      <w:r>
        <w:rPr>
          <w:b/>
        </w:rPr>
      </w:r>
      <w:r>
        <w:rPr>
          <w:b/>
        </w:rPr>
      </w:r>
      <w:r>
        <w:rPr>
          <w:b/>
          <w:bCs/>
        </w:rPr>
      </w:r>
    </w:p>
    <w:p>
      <w:pPr>
        <w:pStyle w:val="932"/>
        <w:jc w:val="both"/>
        <w:rPr>
          <w:highlight w:val="none"/>
        </w:rPr>
      </w:pPr>
      <w:r>
        <w:t xml:space="preserve">   </w:t>
      </w:r>
      <w:r>
        <w:t xml:space="preserve">Настоящим выражаем Вам свое почтение и направляем краткую информацию о нашей компании. </w:t>
      </w:r>
      <w:r/>
    </w:p>
    <w:p>
      <w:pPr>
        <w:jc w:val="both"/>
      </w:pPr>
      <w:r>
        <w:rPr>
          <w:highlight w:val="none"/>
        </w:rPr>
      </w:r>
      <w:r>
        <w:rPr>
          <w:highlight w:val="none"/>
        </w:rPr>
      </w:r>
    </w:p>
    <w:p>
      <w:pPr>
        <w:pStyle w:val="932"/>
        <w:jc w:val="both"/>
      </w:pPr>
      <w:r>
        <w:t xml:space="preserve">   </w:t>
      </w:r>
      <w:r>
        <w:t xml:space="preserve">Компания </w:t>
      </w:r>
      <w:r>
        <w:rPr>
          <w:b/>
          <w:bCs/>
        </w:rPr>
        <w:t xml:space="preserve">ООО «ЦентрМеталл» </w:t>
      </w:r>
      <w:r>
        <w:t xml:space="preserve">– это надежный производитель металлоизделий  различного назначения, деталей трубопроводов среднего и высокого давления, крепежных изделий и  иностранных запчастей по образцам. Мы успешно работает на рынке  по центральному феде</w:t>
      </w:r>
      <w:r>
        <w:t xml:space="preserve">ральному округу и сформировали базу постоянных клиентов, которые доверяют нам. Мы с радостью готовы предоставлять услуги строительным, промышленным, машиностроительным и сельскохозяйственным предприятиям. Наша компания производит различные металлоизделия: </w:t>
      </w:r>
      <w:r/>
    </w:p>
    <w:p>
      <w:pPr>
        <w:pStyle w:val="932"/>
        <w:jc w:val="both"/>
      </w:pPr>
      <w:r/>
      <w:r/>
    </w:p>
    <w:p>
      <w:pPr>
        <w:pStyle w:val="932"/>
        <w:jc w:val="both"/>
        <w:rPr>
          <w:highlight w:val="none"/>
        </w:rPr>
      </w:pPr>
      <w:r>
        <w:t xml:space="preserve">-  </w:t>
      </w:r>
      <w:r>
        <w:rPr>
          <w:b/>
          <w:bCs/>
        </w:rPr>
        <w:t xml:space="preserve">детали и соединения трубопроводов</w:t>
      </w:r>
      <w:r>
        <w:t xml:space="preserve"> (отводы, тройники, хомуты, опоры трубопроводов, фланцы, переходы, муфты, сгоны, соединение американка, штуцера, ниппеля, проходники, накидные гайки, крестовины, стальные фитинги по  зарубежным стандартам </w:t>
      </w:r>
      <w:r>
        <w:rPr>
          <w:b/>
          <w:bCs/>
        </w:rPr>
        <w:t xml:space="preserve">Din, ANSI, ASTM</w:t>
      </w:r>
      <w:r>
        <w:t xml:space="preserve">, образцам и чертежам т.д. );</w:t>
      </w:r>
      <w:r>
        <w:rPr>
          <w:highlight w:val="none"/>
        </w:rPr>
      </w:r>
    </w:p>
    <w:p>
      <w:pPr>
        <w:ind w:left="0" w:firstLine="0"/>
        <w:jc w:val="both"/>
      </w:pPr>
      <w:r>
        <w:rPr>
          <w:highlight w:val="none"/>
        </w:rPr>
        <w:t xml:space="preserve">-Производство гидравлических фитингов для соединения инструментальной арматуры аналоги </w:t>
      </w:r>
      <w:r>
        <w:rPr>
          <w:b/>
          <w:bCs/>
          <w:highlight w:val="none"/>
        </w:rPr>
        <w:t xml:space="preserve">Swagelok, HY-LOK, Parker, HAM-LET, DK-LOK</w:t>
      </w:r>
      <w:r>
        <w:rPr>
          <w:highlight w:val="none"/>
        </w:rPr>
        <w:t xml:space="preserve">.</w:t>
      </w:r>
      <w:r/>
    </w:p>
    <w:p>
      <w:pPr>
        <w:pStyle w:val="932"/>
        <w:jc w:val="both"/>
      </w:pPr>
      <w:r/>
      <w:r/>
    </w:p>
    <w:p>
      <w:pPr>
        <w:pStyle w:val="932"/>
        <w:jc w:val="both"/>
      </w:pPr>
      <w:r>
        <w:t xml:space="preserve">-</w:t>
      </w:r>
      <w:r>
        <w:rPr>
          <w:b/>
          <w:bCs/>
        </w:rPr>
        <w:t xml:space="preserve">металлические ограждения</w:t>
      </w:r>
      <w:r>
        <w:t xml:space="preserve"> (пешеходные, строительные, газонные, заборы);</w:t>
      </w:r>
      <w:r/>
    </w:p>
    <w:p>
      <w:pPr>
        <w:pStyle w:val="932"/>
        <w:jc w:val="both"/>
      </w:pPr>
      <w:r/>
      <w:r/>
    </w:p>
    <w:p>
      <w:pPr>
        <w:pStyle w:val="932"/>
        <w:jc w:val="both"/>
        <w:rPr>
          <w:highlight w:val="none"/>
        </w:rPr>
      </w:pPr>
      <w:r>
        <w:t xml:space="preserve">- </w:t>
      </w:r>
      <w:r>
        <w:rPr>
          <w:b/>
          <w:bCs/>
        </w:rPr>
        <w:t xml:space="preserve">крепежные изделия с резьбой NPT, BSPT, UNC, UNF и др.</w:t>
      </w:r>
      <w:r>
        <w:t xml:space="preserve"> (фундаментные и анкерные блоки; закладные детали арматурные каркасы, буронабивные сваи, анкерные и фундаментные болты, талрепы, резьбовые шпильки, ходовые винты, трапецеидальные шпильки, высокопрочные болты и гайки, винты по ГОСТУ,ОСТУ,ТУ);</w:t>
      </w:r>
      <w:r/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0" w:firstLine="0"/>
        <w:jc w:val="both"/>
      </w:pPr>
      <w:r>
        <w:rPr>
          <w:highlight w:val="none"/>
        </w:rPr>
        <w:t xml:space="preserve">-</w:t>
      </w:r>
      <w:r>
        <w:rPr>
          <w:b/>
          <w:bCs/>
          <w:highlight w:val="none"/>
        </w:rPr>
        <w:t xml:space="preserve">Оборудования для спуска обсадных колонн</w:t>
      </w:r>
      <w:r>
        <w:rPr>
          <w:highlight w:val="none"/>
        </w:rPr>
        <w:t xml:space="preserve">. Налажено производство контрольных шаблонов насосно-компрессорных труб для проверки общей изогнутости без повреждения внутреннего покрытия. Изготовление  </w:t>
      </w:r>
      <w:r>
        <w:rPr>
          <w:highlight w:val="none"/>
        </w:rPr>
        <w:t xml:space="preserve">направляющих воронок (Stabbing Guide)</w:t>
      </w:r>
      <w:r>
        <w:rPr>
          <w:highlight w:val="none"/>
        </w:rPr>
        <w:t xml:space="preserve"> </w:t>
      </w:r>
      <w:r>
        <w:rPr>
          <w:highlight w:val="none"/>
        </w:rPr>
      </w:r>
      <w:r>
        <w:rPr>
          <w:highlight w:val="none"/>
        </w:rPr>
        <w:t xml:space="preserve">для предохранения резьбы обсадных, насосно-компрессорных и </w:t>
      </w:r>
      <w:r>
        <w:rPr>
          <w:highlight w:val="none"/>
        </w:rPr>
        <w:t xml:space="preserve">бурильных труб от повреждений, а также как направляющее устройство для труб или буровых штанг. </w:t>
      </w:r>
      <w:r>
        <w:t xml:space="preserve">Разработка аналогов зарубежного нефтегазового оборудования.</w:t>
      </w:r>
      <w:r>
        <w:rPr>
          <w:highlight w:val="none"/>
        </w:rPr>
      </w:r>
    </w:p>
    <w:p>
      <w:pPr>
        <w:ind w:left="0" w:firstLine="0"/>
        <w:jc w:val="both"/>
      </w:pPr>
      <w:r>
        <w:rPr>
          <w:highlight w:val="none"/>
        </w:rPr>
      </w:r>
      <w:r>
        <w:rPr>
          <w:highlight w:val="none"/>
        </w:rPr>
      </w:r>
    </w:p>
    <w:p>
      <w:pPr>
        <w:pStyle w:val="932"/>
        <w:jc w:val="both"/>
      </w:pPr>
      <w:r/>
      <w:r/>
    </w:p>
    <w:p>
      <w:pPr>
        <w:pStyle w:val="932"/>
        <w:jc w:val="both"/>
      </w:pPr>
      <w:r>
        <w:t xml:space="preserve">-</w:t>
      </w:r>
      <w:r>
        <w:rPr>
          <w:b/>
          <w:bCs/>
        </w:rPr>
        <w:t xml:space="preserve">строительные металлоконструкции</w:t>
      </w:r>
      <w:r>
        <w:t xml:space="preserve"> (лестницы, отбойники, колоны, емкости, балки, фермы, заборы, ограждения, ворота, стеллажи, мачты) ;</w:t>
      </w:r>
      <w:r/>
      <w:r/>
      <w:r/>
    </w:p>
    <w:p>
      <w:pPr>
        <w:pStyle w:val="932"/>
        <w:jc w:val="both"/>
      </w:pPr>
      <w:r>
        <w:t xml:space="preserve"> </w:t>
      </w:r>
      <w:r/>
    </w:p>
    <w:p>
      <w:pPr>
        <w:pStyle w:val="932"/>
        <w:jc w:val="both"/>
      </w:pPr>
      <w:r>
        <w:t xml:space="preserve">               </w:t>
      </w:r>
      <w:r>
        <w:t xml:space="preserve">Просим Вас рассмотреть возможность сотрудничества.</w:t>
      </w:r>
      <w:r/>
    </w:p>
    <w:p>
      <w:pPr>
        <w:pStyle w:val="9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уважением,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both"/>
      </w:pPr>
      <w:r>
        <w:rPr>
          <w:b/>
          <w:sz w:val="28"/>
          <w:szCs w:val="28"/>
        </w:rPr>
        <w:t xml:space="preserve">Коммерческий  директор                                                         Яковцев Н. Д.</w:t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 Light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</w:pPr>
    <w:r>
      <w:t xml:space="preserve">                         </w:t>
    </w:r>
    <w:r>
      <w:t xml:space="preserve">НАШ АДРЕС В ИНТЕРНЕТЕ </w:t>
    </w:r>
    <w:r>
      <w:rPr>
        <w:b/>
        <w:lang w:val="en-US"/>
      </w:rPr>
      <w:t xml:space="preserve">WWW</w:t>
    </w:r>
    <w:r>
      <w:rPr>
        <w:b/>
      </w:rPr>
      <w:t xml:space="preserve">.</w:t>
    </w:r>
    <w:r>
      <w:rPr>
        <w:b/>
        <w:lang w:val="en-US"/>
      </w:rPr>
      <w:t xml:space="preserve">TRUBOMET</w:t>
    </w:r>
    <w:r>
      <w:rPr>
        <w:b/>
      </w:rPr>
      <w:t xml:space="preserve">.</w:t>
    </w:r>
    <w:r>
      <w:rPr>
        <w:b/>
        <w:lang w:val="en-US"/>
      </w:rPr>
      <w:t xml:space="preserve">RU</w:t>
    </w:r>
    <w:r>
      <w:t xml:space="preserve"> </w:t>
    </w:r>
    <w:r/>
  </w:p>
  <w:p>
    <w:pPr>
      <w:pStyle w:val="946"/>
      <w:rPr>
        <w:b/>
        <w:sz w:val="28"/>
        <w:szCs w:val="28"/>
        <w:lang w:val="en-US"/>
      </w:rPr>
    </w:pPr>
    <w:r>
      <w:rPr>
        <w:lang w:val="en-US"/>
      </w:rPr>
      <w:t xml:space="preserve">                                                                  </w:t>
    </w:r>
    <w:r>
      <w:rPr>
        <w:lang w:val="en-US" w:eastAsia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075055" cy="1075055"/>
              <wp:effectExtent l="0" t="0" r="0" b="0"/>
              <wp:docPr id="2" name="Рисунок 6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Рисунок 6" descr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-9" t="-9" r="-9" b="-9"/>
                      <a:stretch/>
                    </pic:blipFill>
                    <pic:spPr bwMode="auto">
                      <a:xfrm>
                        <a:off x="0" y="0"/>
                        <a:ext cx="1075055" cy="10750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84.65pt;height:84.65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  <w:t xml:space="preserve">  </w:t>
    </w:r>
    <w:r>
      <w:rPr>
        <w:b/>
        <w:sz w:val="28"/>
        <w:szCs w:val="28"/>
        <w:lang w:val="en-US"/>
      </w:rPr>
    </w:r>
    <w:r>
      <w:rPr>
        <w:b/>
        <w:sz w:val="28"/>
        <w:szCs w:val="28"/>
        <w:lang w:val="en-US"/>
      </w:rPr>
    </w:r>
  </w:p>
  <w:p>
    <w:pPr>
      <w:pStyle w:val="947"/>
      <w:rPr>
        <w:b/>
        <w:sz w:val="28"/>
        <w:szCs w:val="28"/>
        <w:lang w:val="en-US"/>
      </w:rPr>
    </w:pPr>
    <w:r>
      <w:rPr>
        <w:b/>
        <w:sz w:val="28"/>
        <w:szCs w:val="28"/>
        <w:lang w:val="en-US"/>
      </w:rPr>
    </w:r>
    <w:r>
      <w:rPr>
        <w:b/>
        <w:sz w:val="28"/>
        <w:szCs w:val="28"/>
        <w:lang w:val="en-US"/>
      </w:rPr>
    </w:r>
    <w:r>
      <w:rPr>
        <w:b/>
        <w:sz w:val="28"/>
        <w:szCs w:val="28"/>
        <w:lang w:val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rPr>
        <w:b/>
        <w:sz w:val="28"/>
        <w:szCs w:val="28"/>
      </w:rPr>
    </w:pPr>
    <w:r>
      <w:rPr>
        <w:b/>
        <w:sz w:val="28"/>
        <w:szCs w:val="28"/>
      </w:rPr>
      <w:t xml:space="preserve">        </w:t>
    </w:r>
    <w:r>
      <w:rPr>
        <w:b/>
        <w:sz w:val="28"/>
        <w:szCs w:val="28"/>
      </w:rPr>
      <w:t xml:space="preserve">Общество с ограниченной ответственностью «ЦЕНТРМЕТАЛЛ»                                                                      ИНН   5047206863                      </w:t>
    </w:r>
    <w:r>
      <w:rPr>
        <w:lang w:val="en-US" w:eastAsia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828040" cy="828040"/>
              <wp:effectExtent l="0" t="0" r="0" b="0"/>
              <wp:docPr id="1" name="Image1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1" descr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-9" t="-9" r="-9" b="-9"/>
                      <a:stretch/>
                    </pic:blipFill>
                    <pic:spPr bwMode="auto">
                      <a:xfrm>
                        <a:off x="0" y="0"/>
                        <a:ext cx="828040" cy="8280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65.20pt;height:65.20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b/>
        <w:sz w:val="28"/>
        <w:szCs w:val="28"/>
      </w:rPr>
      <w:t xml:space="preserve">              Тел/факс 8(495) 223-64-73</w:t>
    </w:r>
    <w:r>
      <w:rPr>
        <w:b/>
        <w:sz w:val="28"/>
        <w:szCs w:val="28"/>
      </w:rPr>
    </w:r>
    <w:r>
      <w:rPr>
        <w:b/>
        <w:sz w:val="28"/>
        <w:szCs w:val="28"/>
      </w:rPr>
    </w:r>
  </w:p>
  <w:p>
    <w:pPr>
      <w:pStyle w:val="946"/>
      <w:rPr>
        <w:b/>
        <w:sz w:val="28"/>
        <w:szCs w:val="28"/>
      </w:rPr>
    </w:pPr>
    <w:r>
      <w:rPr>
        <w:b/>
        <w:sz w:val="28"/>
        <w:szCs w:val="28"/>
      </w:rPr>
    </w:r>
    <w:r>
      <w:rPr>
        <w:b/>
        <w:sz w:val="28"/>
        <w:szCs w:val="28"/>
      </w:rPr>
    </w:r>
    <w:r>
      <w:rPr>
        <w:b/>
        <w:sz w:val="28"/>
        <w:szCs w:val="28"/>
      </w:rPr>
    </w:r>
  </w:p>
  <w:tbl>
    <w:tblPr>
      <w:tblW w:w="9000" w:type="dxa"/>
      <w:tblInd w:w="-241" w:type="dxa"/>
      <w:tblLayout w:type="fixed"/>
      <w:tblCellMar>
        <w:left w:w="0" w:type="dxa"/>
        <w:top w:w="0" w:type="dxa"/>
        <w:right w:w="200" w:type="dxa"/>
        <w:bottom w:w="0" w:type="dxa"/>
      </w:tblCellMar>
      <w:tblLook w:val="04A0" w:firstRow="1" w:lastRow="0" w:firstColumn="1" w:lastColumn="0" w:noHBand="0" w:noVBand="1"/>
    </w:tblPr>
    <w:tblGrid>
      <w:gridCol w:w="567"/>
      <w:gridCol w:w="8433"/>
    </w:tblGrid>
    <w:tr>
      <w:trPr>
        <w:trHeight w:val="225"/>
      </w:trPr>
      <w:tc>
        <w:tcPr>
          <w:shd w:val="clear" w:color="auto" w:fill="ffffff"/>
          <w:tcW w:w="567" w:type="dxa"/>
          <w:textDirection w:val="lrTb"/>
          <w:noWrap w:val="false"/>
        </w:tcPr>
        <w:p>
          <w:pPr>
            <w:pStyle w:val="932"/>
            <w:rPr>
              <w:rFonts w:ascii="Courier New" w:hAnsi="Courier New" w:cs="Courier New"/>
              <w:sz w:val="32"/>
              <w:szCs w:val="30"/>
            </w:rPr>
          </w:pPr>
          <w:r>
            <w:rPr>
              <w:rFonts w:ascii="Courier New" w:hAnsi="Courier New" w:cs="Courier New"/>
              <w:sz w:val="32"/>
              <w:szCs w:val="30"/>
            </w:rPr>
          </w:r>
          <w:r>
            <w:rPr>
              <w:rFonts w:ascii="Courier New" w:hAnsi="Courier New" w:cs="Courier New"/>
              <w:sz w:val="32"/>
              <w:szCs w:val="30"/>
            </w:rPr>
          </w:r>
          <w:r>
            <w:rPr>
              <w:rFonts w:ascii="Courier New" w:hAnsi="Courier New" w:cs="Courier New"/>
              <w:sz w:val="32"/>
              <w:szCs w:val="30"/>
            </w:rPr>
          </w:r>
        </w:p>
      </w:tc>
      <w:tc>
        <w:tcPr>
          <w:shd w:val="clear" w:color="auto" w:fill="ffffff"/>
          <w:tcMar>
            <w:right w:w="0" w:type="dxa"/>
          </w:tcMar>
          <w:tcW w:w="8433" w:type="dxa"/>
          <w:textDirection w:val="lrTb"/>
          <w:noWrap w:val="false"/>
        </w:tcPr>
        <w:p>
          <w:pPr>
            <w:pStyle w:val="932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       </w:t>
          </w:r>
          <w:r>
            <w:rPr>
              <w:b/>
              <w:sz w:val="18"/>
              <w:szCs w:val="18"/>
            </w:rPr>
            <w:t xml:space="preserve">Адрес: 141707, Московская область, г. Долгопрудный, Лихачевский проезд, дом 4, строение 1</w:t>
          </w:r>
          <w:r>
            <w:rPr>
              <w:b/>
              <w:sz w:val="18"/>
              <w:szCs w:val="18"/>
            </w:rPr>
          </w:r>
          <w:r>
            <w:rPr>
              <w:b/>
              <w:sz w:val="18"/>
              <w:szCs w:val="18"/>
            </w:rPr>
          </w:r>
        </w:p>
      </w:tc>
    </w:tr>
  </w:tbl>
  <w:p>
    <w:pPr>
      <w:pStyle w:val="9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93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9">
    <w:name w:val="Heading 1 Char"/>
    <w:link w:val="933"/>
    <w:uiPriority w:val="9"/>
    <w:rPr>
      <w:rFonts w:ascii="Arial" w:hAnsi="Arial" w:eastAsia="Arial" w:cs="Arial"/>
      <w:sz w:val="40"/>
      <w:szCs w:val="40"/>
    </w:rPr>
  </w:style>
  <w:style w:type="paragraph" w:styleId="760">
    <w:name w:val="Heading 2"/>
    <w:basedOn w:val="932"/>
    <w:next w:val="932"/>
    <w:link w:val="7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1">
    <w:name w:val="Heading 2 Char"/>
    <w:link w:val="760"/>
    <w:uiPriority w:val="9"/>
    <w:rPr>
      <w:rFonts w:ascii="Arial" w:hAnsi="Arial" w:eastAsia="Arial" w:cs="Arial"/>
      <w:sz w:val="34"/>
    </w:rPr>
  </w:style>
  <w:style w:type="paragraph" w:styleId="762">
    <w:name w:val="Heading 3"/>
    <w:basedOn w:val="932"/>
    <w:next w:val="932"/>
    <w:link w:val="7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3">
    <w:name w:val="Heading 3 Char"/>
    <w:link w:val="762"/>
    <w:uiPriority w:val="9"/>
    <w:rPr>
      <w:rFonts w:ascii="Arial" w:hAnsi="Arial" w:eastAsia="Arial" w:cs="Arial"/>
      <w:sz w:val="30"/>
      <w:szCs w:val="30"/>
    </w:rPr>
  </w:style>
  <w:style w:type="paragraph" w:styleId="764">
    <w:name w:val="Heading 4"/>
    <w:basedOn w:val="932"/>
    <w:next w:val="932"/>
    <w:link w:val="7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5">
    <w:name w:val="Heading 4 Char"/>
    <w:link w:val="764"/>
    <w:uiPriority w:val="9"/>
    <w:rPr>
      <w:rFonts w:ascii="Arial" w:hAnsi="Arial" w:eastAsia="Arial" w:cs="Arial"/>
      <w:b/>
      <w:bCs/>
      <w:sz w:val="26"/>
      <w:szCs w:val="26"/>
    </w:rPr>
  </w:style>
  <w:style w:type="paragraph" w:styleId="766">
    <w:name w:val="Heading 5"/>
    <w:basedOn w:val="932"/>
    <w:next w:val="932"/>
    <w:link w:val="7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7">
    <w:name w:val="Heading 5 Char"/>
    <w:link w:val="766"/>
    <w:uiPriority w:val="9"/>
    <w:rPr>
      <w:rFonts w:ascii="Arial" w:hAnsi="Arial" w:eastAsia="Arial" w:cs="Arial"/>
      <w:b/>
      <w:bCs/>
      <w:sz w:val="24"/>
      <w:szCs w:val="24"/>
    </w:rPr>
  </w:style>
  <w:style w:type="paragraph" w:styleId="768">
    <w:name w:val="Heading 6"/>
    <w:basedOn w:val="932"/>
    <w:next w:val="932"/>
    <w:link w:val="7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9">
    <w:name w:val="Heading 6 Char"/>
    <w:link w:val="768"/>
    <w:uiPriority w:val="9"/>
    <w:rPr>
      <w:rFonts w:ascii="Arial" w:hAnsi="Arial" w:eastAsia="Arial" w:cs="Arial"/>
      <w:b/>
      <w:bCs/>
      <w:sz w:val="22"/>
      <w:szCs w:val="22"/>
    </w:rPr>
  </w:style>
  <w:style w:type="paragraph" w:styleId="770">
    <w:name w:val="Heading 7"/>
    <w:basedOn w:val="932"/>
    <w:next w:val="932"/>
    <w:link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1">
    <w:name w:val="Heading 7 Char"/>
    <w:link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2">
    <w:name w:val="Heading 8"/>
    <w:basedOn w:val="932"/>
    <w:next w:val="932"/>
    <w:link w:val="7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3">
    <w:name w:val="Heading 8 Char"/>
    <w:link w:val="772"/>
    <w:uiPriority w:val="9"/>
    <w:rPr>
      <w:rFonts w:ascii="Arial" w:hAnsi="Arial" w:eastAsia="Arial" w:cs="Arial"/>
      <w:i/>
      <w:iCs/>
      <w:sz w:val="22"/>
      <w:szCs w:val="22"/>
    </w:rPr>
  </w:style>
  <w:style w:type="paragraph" w:styleId="774">
    <w:name w:val="Heading 9"/>
    <w:basedOn w:val="932"/>
    <w:next w:val="932"/>
    <w:link w:val="7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5">
    <w:name w:val="Heading 9 Char"/>
    <w:link w:val="774"/>
    <w:uiPriority w:val="9"/>
    <w:rPr>
      <w:rFonts w:ascii="Arial" w:hAnsi="Arial" w:eastAsia="Arial" w:cs="Arial"/>
      <w:i/>
      <w:iCs/>
      <w:sz w:val="21"/>
      <w:szCs w:val="21"/>
    </w:rPr>
  </w:style>
  <w:style w:type="paragraph" w:styleId="776">
    <w:name w:val="List Paragraph"/>
    <w:basedOn w:val="932"/>
    <w:uiPriority w:val="34"/>
    <w:qFormat/>
    <w:pPr>
      <w:contextualSpacing/>
      <w:ind w:left="720"/>
    </w:pPr>
  </w:style>
  <w:style w:type="paragraph" w:styleId="777">
    <w:name w:val="No Spacing"/>
    <w:uiPriority w:val="1"/>
    <w:qFormat/>
    <w:pPr>
      <w:spacing w:before="0" w:after="0" w:line="240" w:lineRule="auto"/>
    </w:pPr>
  </w:style>
  <w:style w:type="paragraph" w:styleId="778">
    <w:name w:val="Title"/>
    <w:basedOn w:val="932"/>
    <w:next w:val="932"/>
    <w:link w:val="7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9">
    <w:name w:val="Title Char"/>
    <w:link w:val="778"/>
    <w:uiPriority w:val="10"/>
    <w:rPr>
      <w:sz w:val="48"/>
      <w:szCs w:val="48"/>
    </w:rPr>
  </w:style>
  <w:style w:type="paragraph" w:styleId="780">
    <w:name w:val="Subtitle"/>
    <w:basedOn w:val="932"/>
    <w:next w:val="932"/>
    <w:link w:val="781"/>
    <w:uiPriority w:val="11"/>
    <w:qFormat/>
    <w:pPr>
      <w:spacing w:before="200" w:after="200"/>
    </w:pPr>
    <w:rPr>
      <w:sz w:val="24"/>
      <w:szCs w:val="24"/>
    </w:rPr>
  </w:style>
  <w:style w:type="character" w:styleId="781">
    <w:name w:val="Subtitle Char"/>
    <w:link w:val="780"/>
    <w:uiPriority w:val="11"/>
    <w:rPr>
      <w:sz w:val="24"/>
      <w:szCs w:val="24"/>
    </w:rPr>
  </w:style>
  <w:style w:type="paragraph" w:styleId="782">
    <w:name w:val="Quote"/>
    <w:basedOn w:val="932"/>
    <w:next w:val="932"/>
    <w:link w:val="783"/>
    <w:uiPriority w:val="29"/>
    <w:qFormat/>
    <w:pPr>
      <w:ind w:left="720" w:right="720"/>
    </w:pPr>
    <w:rPr>
      <w:i/>
    </w:rPr>
  </w:style>
  <w:style w:type="character" w:styleId="783">
    <w:name w:val="Quote Char"/>
    <w:link w:val="782"/>
    <w:uiPriority w:val="29"/>
    <w:rPr>
      <w:i/>
    </w:rPr>
  </w:style>
  <w:style w:type="paragraph" w:styleId="784">
    <w:name w:val="Intense Quote"/>
    <w:basedOn w:val="932"/>
    <w:next w:val="932"/>
    <w:link w:val="7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5">
    <w:name w:val="Intense Quote Char"/>
    <w:link w:val="784"/>
    <w:uiPriority w:val="30"/>
    <w:rPr>
      <w:i/>
    </w:rPr>
  </w:style>
  <w:style w:type="character" w:styleId="786">
    <w:name w:val="Header Char"/>
    <w:link w:val="946"/>
    <w:uiPriority w:val="99"/>
  </w:style>
  <w:style w:type="character" w:styleId="787">
    <w:name w:val="Footer Char"/>
    <w:link w:val="947"/>
    <w:uiPriority w:val="99"/>
  </w:style>
  <w:style w:type="character" w:styleId="788">
    <w:name w:val="Caption Char"/>
    <w:basedOn w:val="943"/>
    <w:link w:val="947"/>
    <w:uiPriority w:val="99"/>
  </w:style>
  <w:style w:type="table" w:styleId="78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5">
    <w:name w:val="footnote text"/>
    <w:basedOn w:val="932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>
    <w:name w:val="Footnote Text Char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932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>
    <w:name w:val="Endnote Text Char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932"/>
    <w:next w:val="932"/>
    <w:uiPriority w:val="39"/>
    <w:unhideWhenUsed/>
    <w:pPr>
      <w:ind w:left="0" w:right="0" w:firstLine="0"/>
      <w:spacing w:after="57"/>
    </w:pPr>
  </w:style>
  <w:style w:type="paragraph" w:styleId="922">
    <w:name w:val="toc 2"/>
    <w:basedOn w:val="932"/>
    <w:next w:val="932"/>
    <w:uiPriority w:val="39"/>
    <w:unhideWhenUsed/>
    <w:pPr>
      <w:ind w:left="283" w:right="0" w:firstLine="0"/>
      <w:spacing w:after="57"/>
    </w:pPr>
  </w:style>
  <w:style w:type="paragraph" w:styleId="923">
    <w:name w:val="toc 3"/>
    <w:basedOn w:val="932"/>
    <w:next w:val="932"/>
    <w:uiPriority w:val="39"/>
    <w:unhideWhenUsed/>
    <w:pPr>
      <w:ind w:left="567" w:right="0" w:firstLine="0"/>
      <w:spacing w:after="57"/>
    </w:pPr>
  </w:style>
  <w:style w:type="paragraph" w:styleId="924">
    <w:name w:val="toc 4"/>
    <w:basedOn w:val="932"/>
    <w:next w:val="932"/>
    <w:uiPriority w:val="39"/>
    <w:unhideWhenUsed/>
    <w:pPr>
      <w:ind w:left="850" w:right="0" w:firstLine="0"/>
      <w:spacing w:after="57"/>
    </w:pPr>
  </w:style>
  <w:style w:type="paragraph" w:styleId="925">
    <w:name w:val="toc 5"/>
    <w:basedOn w:val="932"/>
    <w:next w:val="932"/>
    <w:uiPriority w:val="39"/>
    <w:unhideWhenUsed/>
    <w:pPr>
      <w:ind w:left="1134" w:right="0" w:firstLine="0"/>
      <w:spacing w:after="57"/>
    </w:pPr>
  </w:style>
  <w:style w:type="paragraph" w:styleId="926">
    <w:name w:val="toc 6"/>
    <w:basedOn w:val="932"/>
    <w:next w:val="932"/>
    <w:uiPriority w:val="39"/>
    <w:unhideWhenUsed/>
    <w:pPr>
      <w:ind w:left="1417" w:right="0" w:firstLine="0"/>
      <w:spacing w:after="57"/>
    </w:pPr>
  </w:style>
  <w:style w:type="paragraph" w:styleId="927">
    <w:name w:val="toc 7"/>
    <w:basedOn w:val="932"/>
    <w:next w:val="932"/>
    <w:uiPriority w:val="39"/>
    <w:unhideWhenUsed/>
    <w:pPr>
      <w:ind w:left="1701" w:right="0" w:firstLine="0"/>
      <w:spacing w:after="57"/>
    </w:pPr>
  </w:style>
  <w:style w:type="paragraph" w:styleId="928">
    <w:name w:val="toc 8"/>
    <w:basedOn w:val="932"/>
    <w:next w:val="932"/>
    <w:uiPriority w:val="39"/>
    <w:unhideWhenUsed/>
    <w:pPr>
      <w:ind w:left="1984" w:right="0" w:firstLine="0"/>
      <w:spacing w:after="57"/>
    </w:pPr>
  </w:style>
  <w:style w:type="paragraph" w:styleId="929">
    <w:name w:val="toc 9"/>
    <w:basedOn w:val="932"/>
    <w:next w:val="932"/>
    <w:uiPriority w:val="39"/>
    <w:unhideWhenUsed/>
    <w:pPr>
      <w:ind w:left="2268" w:right="0" w:firstLine="0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933">
    <w:name w:val="Heading 1"/>
    <w:basedOn w:val="932"/>
    <w:next w:val="932"/>
    <w:qFormat/>
    <w:pPr>
      <w:numPr>
        <w:ilvl w:val="0"/>
        <w:numId w:val="1"/>
      </w:numPr>
      <w:keepLines/>
      <w:keepNext/>
      <w:spacing w:before="320" w:after="0"/>
      <w:outlineLvl w:val="0"/>
    </w:pPr>
    <w:rPr>
      <w:rFonts w:ascii="Calibri Light" w:hAnsi="Calibri Light" w:eastAsia="Times New Roman" w:cs="Times New Roman"/>
      <w:color w:val="2e74b5"/>
      <w:sz w:val="30"/>
      <w:szCs w:val="30"/>
    </w:rPr>
  </w:style>
  <w:style w:type="character" w:styleId="934">
    <w:name w:val="Основной шрифт абзаца"/>
    <w:qFormat/>
  </w:style>
  <w:style w:type="character" w:styleId="935">
    <w:name w:val="Hyperlink"/>
    <w:rPr>
      <w:color w:val="0000ff"/>
      <w:u w:val="single"/>
    </w:rPr>
  </w:style>
  <w:style w:type="character" w:styleId="936">
    <w:name w:val="wmi-callto"/>
    <w:basedOn w:val="934"/>
    <w:qFormat/>
  </w:style>
  <w:style w:type="character" w:styleId="937">
    <w:name w:val="apple-converted-space"/>
    <w:basedOn w:val="934"/>
    <w:qFormat/>
  </w:style>
  <w:style w:type="character" w:styleId="938">
    <w:name w:val="Заголовок 1 Знак"/>
    <w:qFormat/>
    <w:rPr>
      <w:rFonts w:ascii="Calibri Light" w:hAnsi="Calibri Light" w:cs="Calibri Light"/>
      <w:color w:val="2e74b5"/>
      <w:sz w:val="30"/>
      <w:szCs w:val="30"/>
    </w:rPr>
  </w:style>
  <w:style w:type="character" w:styleId="939">
    <w:name w:val="wmi-sign"/>
    <w:qFormat/>
  </w:style>
  <w:style w:type="paragraph" w:styleId="940">
    <w:name w:val="Heading"/>
    <w:basedOn w:val="932"/>
    <w:next w:val="941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941">
    <w:name w:val="Body Text"/>
    <w:basedOn w:val="932"/>
    <w:pPr>
      <w:spacing w:before="0" w:after="140" w:line="276" w:lineRule="auto"/>
    </w:pPr>
  </w:style>
  <w:style w:type="paragraph" w:styleId="942">
    <w:name w:val="List"/>
    <w:basedOn w:val="941"/>
  </w:style>
  <w:style w:type="paragraph" w:styleId="943">
    <w:name w:val="Caption"/>
    <w:basedOn w:val="932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944">
    <w:name w:val="Index"/>
    <w:basedOn w:val="932"/>
    <w:qFormat/>
    <w:pPr>
      <w:suppressLineNumbers/>
    </w:pPr>
  </w:style>
  <w:style w:type="paragraph" w:styleId="945">
    <w:name w:val="Header and Footer"/>
    <w:basedOn w:val="932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946">
    <w:name w:val="Header"/>
    <w:basedOn w:val="932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47">
    <w:name w:val="Footer"/>
    <w:basedOn w:val="932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48">
    <w:name w:val="Обычный (веб)"/>
    <w:basedOn w:val="932"/>
    <w:qFormat/>
    <w:pPr>
      <w:spacing w:before="280" w:after="280"/>
    </w:pPr>
  </w:style>
  <w:style w:type="paragraph" w:styleId="949">
    <w:name w:val="Table Contents"/>
    <w:basedOn w:val="932"/>
    <w:qFormat/>
    <w:pPr>
      <w:widowControl w:val="off"/>
      <w:suppressLineNumbers/>
    </w:pPr>
  </w:style>
  <w:style w:type="paragraph" w:styleId="950">
    <w:name w:val="Table Heading"/>
    <w:basedOn w:val="949"/>
    <w:qFormat/>
    <w:pPr>
      <w:jc w:val="center"/>
      <w:suppressLineNumbers/>
    </w:pPr>
    <w:rPr>
      <w:b/>
      <w:bCs/>
    </w:rPr>
  </w:style>
  <w:style w:type="character" w:styleId="951" w:default="1">
    <w:name w:val="Default Paragraph Font"/>
    <w:uiPriority w:val="1"/>
    <w:semiHidden/>
    <w:unhideWhenUsed/>
  </w:style>
  <w:style w:type="numbering" w:styleId="952" w:default="1">
    <w:name w:val="No List"/>
    <w:uiPriority w:val="99"/>
    <w:semiHidden/>
    <w:unhideWhenUsed/>
  </w:style>
  <w:style w:type="table" w:styleId="95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MAIN</dc:creator>
  <cp:keywords/>
  <dc:description/>
  <dc:language>en-US</dc:language>
  <cp:lastModifiedBy>ООО Центр Металл http://www.trubomet.ru/</cp:lastModifiedBy>
  <cp:revision>7</cp:revision>
  <dcterms:created xsi:type="dcterms:W3CDTF">2022-03-13T16:31:00Z</dcterms:created>
  <dcterms:modified xsi:type="dcterms:W3CDTF">2024-03-20T22:31:22Z</dcterms:modified>
</cp:coreProperties>
</file>